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2804" w14:textId="77777777" w:rsidR="00C30AEF" w:rsidRDefault="00C30AEF">
      <w:pPr>
        <w:rPr>
          <w:rFonts w:ascii="Nunito Sans" w:hAnsi="Nunito Sans" w:cs="Nunito Sans" w:hint="eastAsia"/>
        </w:rPr>
      </w:pPr>
    </w:p>
    <w:p w14:paraId="42B8CE7C" w14:textId="77777777" w:rsidR="00C30AEF" w:rsidRPr="00896CF4" w:rsidRDefault="00896CF4">
      <w:pPr>
        <w:jc w:val="center"/>
        <w:rPr>
          <w:rFonts w:ascii="Nunito Sans" w:hAnsi="Nunito Sans" w:cs="Nunito Sans" w:hint="eastAsia"/>
          <w:b/>
          <w:sz w:val="28"/>
          <w:szCs w:val="28"/>
        </w:rPr>
      </w:pPr>
      <w:r w:rsidRPr="00896CF4">
        <w:rPr>
          <w:rFonts w:ascii="Nunito Sans" w:hAnsi="Nunito Sans" w:cs="Nunito Sans"/>
          <w:b/>
          <w:sz w:val="28"/>
          <w:szCs w:val="28"/>
        </w:rPr>
        <w:t>Dohoda o zasielaní elektronickej faktúry</w:t>
      </w:r>
    </w:p>
    <w:p w14:paraId="46D64B41" w14:textId="77777777" w:rsidR="00C30AEF" w:rsidRDefault="00896CF4">
      <w:pPr>
        <w:jc w:val="center"/>
        <w:rPr>
          <w:rFonts w:ascii="Nunito Sans" w:hAnsi="Nunito Sans" w:cs="Nunito Sans" w:hint="eastAsia"/>
          <w:sz w:val="18"/>
          <w:szCs w:val="18"/>
        </w:rPr>
      </w:pPr>
      <w:r>
        <w:rPr>
          <w:rFonts w:ascii="Nunito Sans" w:hAnsi="Nunito Sans" w:cs="Nunito Sans"/>
          <w:sz w:val="18"/>
          <w:szCs w:val="18"/>
        </w:rPr>
        <w:t>(ďalej len „Dohoda“)</w:t>
      </w:r>
    </w:p>
    <w:p w14:paraId="2611DF25" w14:textId="77777777" w:rsidR="00C30AEF" w:rsidRDefault="00C30AEF">
      <w:pPr>
        <w:spacing w:after="0"/>
        <w:rPr>
          <w:rFonts w:ascii="Nunito Sans" w:hAnsi="Nunito Sans" w:cs="Nunito Sans" w:hint="eastAsia"/>
          <w:sz w:val="18"/>
          <w:szCs w:val="18"/>
        </w:rPr>
      </w:pPr>
    </w:p>
    <w:p w14:paraId="16AA62D0" w14:textId="77777777" w:rsidR="00C30AEF" w:rsidRDefault="00896CF4">
      <w:pPr>
        <w:spacing w:after="0"/>
        <w:rPr>
          <w:rFonts w:ascii="Nunito Sans" w:hAnsi="Nunito Sans" w:cs="Nunito Sans" w:hint="eastAsia"/>
          <w:b/>
          <w:sz w:val="20"/>
          <w:szCs w:val="20"/>
        </w:rPr>
      </w:pPr>
      <w:r>
        <w:rPr>
          <w:rFonts w:ascii="Nunito Sans" w:hAnsi="Nunito Sans" w:cs="Nunito Sans"/>
          <w:b/>
          <w:sz w:val="20"/>
          <w:szCs w:val="20"/>
        </w:rPr>
        <w:t>SWAN, a.s.</w:t>
      </w:r>
    </w:p>
    <w:p w14:paraId="219D8D45" w14:textId="77777777" w:rsidR="00C30AEF" w:rsidRDefault="00896CF4">
      <w:pPr>
        <w:tabs>
          <w:tab w:val="left" w:pos="360"/>
        </w:tabs>
        <w:spacing w:after="0"/>
        <w:ind w:right="432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 xml:space="preserve">Landererova 12, 811 09 Bratislava </w:t>
      </w:r>
    </w:p>
    <w:p w14:paraId="34416363" w14:textId="77777777" w:rsidR="00C30AEF" w:rsidRDefault="00896CF4">
      <w:pPr>
        <w:tabs>
          <w:tab w:val="left" w:pos="360"/>
        </w:tabs>
        <w:spacing w:after="0"/>
        <w:ind w:right="432"/>
        <w:rPr>
          <w:rFonts w:ascii="Nunito Sans" w:hAnsi="Nunito Sans" w:cs="Nunito Sans" w:hint="eastAsia"/>
          <w:color w:val="000000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 xml:space="preserve">IČO: </w:t>
      </w:r>
      <w:r>
        <w:rPr>
          <w:rStyle w:val="Ra"/>
          <w:rFonts w:ascii="Nunito Sans" w:hAnsi="Nunito Sans" w:cs="Nunito Sans"/>
          <w:sz w:val="20"/>
          <w:szCs w:val="20"/>
        </w:rPr>
        <w:t>35 680 202</w:t>
      </w:r>
    </w:p>
    <w:p w14:paraId="4B8EA634" w14:textId="77777777" w:rsidR="00C30AEF" w:rsidRDefault="00896CF4">
      <w:pPr>
        <w:spacing w:after="0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zapísaná v obchodnom registri Mestského súdu Bratislava III,  oddiel Sa, vložka č.: 2958/B</w:t>
      </w:r>
    </w:p>
    <w:p w14:paraId="3A8AFF8B" w14:textId="77777777" w:rsidR="00C30AEF" w:rsidRDefault="00896CF4">
      <w:pPr>
        <w:spacing w:after="0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 xml:space="preserve">v mene ktorej koná: Ing. Juraj Ondriš, predseda predstavenstva, Ing. Miroslav Strečanský, podpredseda predstavenstva </w:t>
      </w:r>
    </w:p>
    <w:p w14:paraId="017A4B7F" w14:textId="77777777" w:rsidR="00C30AEF" w:rsidRDefault="00896CF4">
      <w:pPr>
        <w:pStyle w:val="Zkladntext"/>
        <w:spacing w:after="0" w:line="240" w:lineRule="auto"/>
        <w:rPr>
          <w:rFonts w:ascii="Nunito Sans" w:hAnsi="Nunito Sans" w:cs="Nunito Sans"/>
          <w:szCs w:val="20"/>
          <w:lang w:val="sk-SK"/>
        </w:rPr>
      </w:pPr>
      <w:r>
        <w:rPr>
          <w:rFonts w:ascii="Nunito Sans" w:hAnsi="Nunito Sans" w:cs="Nunito Sans"/>
          <w:szCs w:val="20"/>
          <w:lang w:val="sk-SK"/>
        </w:rPr>
        <w:t>(ďalej ako „Podnik“)</w:t>
      </w:r>
    </w:p>
    <w:p w14:paraId="4BAEEC00" w14:textId="77777777" w:rsidR="00C30AEF" w:rsidRDefault="00C30AEF">
      <w:pPr>
        <w:pStyle w:val="Zkladntext"/>
        <w:spacing w:after="0" w:line="240" w:lineRule="auto"/>
        <w:rPr>
          <w:rFonts w:ascii="Nunito Sans" w:hAnsi="Nunito Sans" w:cs="Nunito Sans"/>
          <w:szCs w:val="20"/>
          <w:lang w:val="sk-SK"/>
        </w:rPr>
      </w:pPr>
    </w:p>
    <w:p w14:paraId="10A0A3EE" w14:textId="77777777" w:rsidR="00C30AEF" w:rsidRDefault="00896CF4">
      <w:pPr>
        <w:pStyle w:val="Zkladntext"/>
        <w:spacing w:after="0" w:line="240" w:lineRule="auto"/>
        <w:rPr>
          <w:rFonts w:ascii="Nunito Sans" w:hAnsi="Nunito Sans" w:cs="Nunito Sans"/>
          <w:szCs w:val="20"/>
          <w:lang w:val="sk-SK"/>
        </w:rPr>
      </w:pPr>
      <w:r>
        <w:rPr>
          <w:rFonts w:ascii="Nunito Sans" w:hAnsi="Nunito Sans" w:cs="Nunito Sans"/>
          <w:szCs w:val="20"/>
          <w:lang w:val="sk-SK"/>
        </w:rPr>
        <w:t>a</w:t>
      </w:r>
    </w:p>
    <w:p w14:paraId="7DBD9DED" w14:textId="77777777" w:rsidR="00C30AEF" w:rsidRDefault="00C30AEF">
      <w:pPr>
        <w:spacing w:after="0"/>
        <w:rPr>
          <w:rFonts w:ascii="Nunito Sans" w:hAnsi="Nunito Sans" w:cs="Nunito Sans" w:hint="eastAsia"/>
          <w:sz w:val="20"/>
          <w:szCs w:val="20"/>
        </w:rPr>
      </w:pPr>
    </w:p>
    <w:p w14:paraId="6E607D56" w14:textId="77777777" w:rsidR="00C30AEF" w:rsidRDefault="00896CF4">
      <w:pPr>
        <w:spacing w:after="0"/>
        <w:rPr>
          <w:rFonts w:ascii="Nunito Sans" w:hAnsi="Nunito Sans" w:cs="Nunito Sans" w:hint="eastAsia"/>
          <w:b/>
          <w:sz w:val="20"/>
          <w:szCs w:val="20"/>
        </w:rPr>
      </w:pPr>
      <w:r>
        <w:rPr>
          <w:rFonts w:ascii="Nunito Sans" w:hAnsi="Nunito Sans" w:cs="Nunito Sans"/>
          <w:b/>
          <w:sz w:val="20"/>
          <w:szCs w:val="20"/>
        </w:rPr>
        <w:t>..............................................................</w:t>
      </w:r>
    </w:p>
    <w:p w14:paraId="06B55058" w14:textId="77777777" w:rsidR="00C30AEF" w:rsidRDefault="00896CF4">
      <w:pPr>
        <w:spacing w:after="0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...................................................................</w:t>
      </w:r>
    </w:p>
    <w:p w14:paraId="74D7FC6F" w14:textId="77777777" w:rsidR="00C30AEF" w:rsidRDefault="00896CF4">
      <w:pPr>
        <w:tabs>
          <w:tab w:val="left" w:pos="360"/>
        </w:tabs>
        <w:spacing w:after="0"/>
        <w:ind w:right="432"/>
        <w:rPr>
          <w:rFonts w:ascii="Nunito Sans" w:hAnsi="Nunito Sans" w:cs="Nunito Sans" w:hint="eastAsia"/>
          <w:color w:val="000000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 xml:space="preserve">IČO: </w:t>
      </w:r>
      <w:r>
        <w:rPr>
          <w:rStyle w:val="Ra"/>
          <w:rFonts w:ascii="Nunito Sans" w:hAnsi="Nunito Sans" w:cs="Nunito Sans"/>
          <w:sz w:val="20"/>
          <w:szCs w:val="20"/>
        </w:rPr>
        <w:t>.........................................................</w:t>
      </w:r>
    </w:p>
    <w:p w14:paraId="1CFC1E92" w14:textId="77777777" w:rsidR="00C30AEF" w:rsidRDefault="00896CF4">
      <w:pPr>
        <w:spacing w:after="0"/>
        <w:rPr>
          <w:rStyle w:val="Ra"/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 xml:space="preserve">zapísaná v obchodnom registri Okresného súdu ........., odd.: ........,  vložka č.: </w:t>
      </w:r>
      <w:r>
        <w:rPr>
          <w:rStyle w:val="Ra"/>
          <w:rFonts w:ascii="Nunito Sans" w:hAnsi="Nunito Sans" w:cs="Nunito Sans"/>
          <w:sz w:val="20"/>
          <w:szCs w:val="20"/>
        </w:rPr>
        <w:t xml:space="preserve">........ </w:t>
      </w:r>
    </w:p>
    <w:p w14:paraId="0F2D7E6A" w14:textId="77777777" w:rsidR="00C30AEF" w:rsidRDefault="00896CF4">
      <w:pPr>
        <w:spacing w:after="0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v mene ktorej koná: .......................</w:t>
      </w:r>
    </w:p>
    <w:p w14:paraId="5F5764E6" w14:textId="77777777" w:rsidR="00C30AEF" w:rsidRDefault="00896CF4">
      <w:pPr>
        <w:pStyle w:val="Zkladntext"/>
        <w:spacing w:after="0" w:line="240" w:lineRule="auto"/>
        <w:rPr>
          <w:rFonts w:ascii="Nunito Sans" w:hAnsi="Nunito Sans" w:cs="Nunito Sans"/>
          <w:szCs w:val="20"/>
          <w:lang w:val="sk-SK"/>
        </w:rPr>
      </w:pPr>
      <w:r>
        <w:rPr>
          <w:rFonts w:ascii="Nunito Sans" w:hAnsi="Nunito Sans" w:cs="Nunito Sans"/>
          <w:szCs w:val="20"/>
          <w:lang w:val="sk-SK"/>
        </w:rPr>
        <w:t>(ďalej ako „Účastník“)</w:t>
      </w:r>
    </w:p>
    <w:p w14:paraId="36C6B4D4" w14:textId="77777777" w:rsidR="00C30AEF" w:rsidRDefault="00C30AEF">
      <w:pPr>
        <w:pStyle w:val="Zkladntext"/>
        <w:spacing w:after="0" w:line="240" w:lineRule="auto"/>
        <w:rPr>
          <w:rFonts w:ascii="Nunito Sans" w:hAnsi="Nunito Sans" w:cs="Nunito Sans"/>
          <w:szCs w:val="20"/>
          <w:lang w:val="sk-SK"/>
        </w:rPr>
      </w:pPr>
    </w:p>
    <w:p w14:paraId="00140ABA" w14:textId="77777777" w:rsidR="00C30AEF" w:rsidRDefault="00896CF4">
      <w:pPr>
        <w:pStyle w:val="Zkladntext"/>
        <w:numPr>
          <w:ilvl w:val="0"/>
          <w:numId w:val="2"/>
        </w:numPr>
        <w:spacing w:before="0" w:after="0" w:line="240" w:lineRule="auto"/>
        <w:rPr>
          <w:rFonts w:ascii="Nunito Sans" w:hAnsi="Nunito Sans" w:cs="Nunito Sans"/>
          <w:b/>
          <w:szCs w:val="20"/>
          <w:lang w:val="sk-SK"/>
        </w:rPr>
      </w:pPr>
      <w:r>
        <w:rPr>
          <w:rFonts w:ascii="Nunito Sans" w:hAnsi="Nunito Sans" w:cs="Nunito Sans"/>
          <w:b/>
          <w:bCs/>
          <w:szCs w:val="20"/>
          <w:lang w:val="sk-SK"/>
        </w:rPr>
        <w:t>Pred</w:t>
      </w:r>
      <w:r>
        <w:rPr>
          <w:rFonts w:ascii="Nunito Sans" w:hAnsi="Nunito Sans" w:cs="Nunito Sans"/>
          <w:b/>
          <w:szCs w:val="20"/>
          <w:lang w:val="sk-SK"/>
        </w:rPr>
        <w:t xml:space="preserve">met dohody </w:t>
      </w:r>
    </w:p>
    <w:p w14:paraId="1BEC2FA7" w14:textId="77777777" w:rsidR="00C30AEF" w:rsidRDefault="00C30AEF">
      <w:pPr>
        <w:pStyle w:val="Zkladntext"/>
        <w:spacing w:line="240" w:lineRule="auto"/>
        <w:ind w:left="1080"/>
        <w:rPr>
          <w:rFonts w:ascii="Nunito Sans" w:hAnsi="Nunito Sans" w:cs="Nunito Sans"/>
          <w:b/>
          <w:szCs w:val="20"/>
          <w:lang w:val="sk-SK"/>
        </w:rPr>
      </w:pPr>
    </w:p>
    <w:p w14:paraId="4EECE858" w14:textId="77777777" w:rsidR="00C30AEF" w:rsidRDefault="00896CF4">
      <w:pPr>
        <w:pStyle w:val="Zkladntext"/>
        <w:numPr>
          <w:ilvl w:val="0"/>
          <w:numId w:val="4"/>
        </w:numPr>
        <w:tabs>
          <w:tab w:val="clear" w:pos="1021"/>
        </w:tabs>
        <w:spacing w:before="0" w:after="0" w:line="240" w:lineRule="auto"/>
        <w:rPr>
          <w:rFonts w:ascii="Nunito Sans" w:hAnsi="Nunito Sans" w:cs="Nunito Sans"/>
          <w:szCs w:val="20"/>
          <w:lang w:val="sk-SK"/>
        </w:rPr>
      </w:pPr>
      <w:r>
        <w:rPr>
          <w:rFonts w:ascii="Nunito Sans" w:hAnsi="Nunito Sans" w:cs="Nunito Sans"/>
          <w:szCs w:val="20"/>
          <w:lang w:val="sk-SK"/>
        </w:rPr>
        <w:t>Zmluvné strany sa dohodli na zasielaní elektronickej faktúry Podnikom spôsobom a za podmienok ďalej uvedených v tejto Dohode.</w:t>
      </w:r>
    </w:p>
    <w:p w14:paraId="719A54CD" w14:textId="77777777" w:rsidR="00C30AEF" w:rsidRDefault="00C30AEF">
      <w:pPr>
        <w:pStyle w:val="Zkladntext"/>
        <w:spacing w:line="240" w:lineRule="auto"/>
        <w:rPr>
          <w:rFonts w:ascii="Nunito Sans" w:hAnsi="Nunito Sans" w:cs="Nunito Sans"/>
          <w:szCs w:val="20"/>
          <w:lang w:val="sk-SK"/>
        </w:rPr>
      </w:pPr>
    </w:p>
    <w:p w14:paraId="48B43EB3" w14:textId="77777777" w:rsidR="00C30AEF" w:rsidRDefault="00896CF4">
      <w:pPr>
        <w:pStyle w:val="Zkladntext"/>
        <w:numPr>
          <w:ilvl w:val="0"/>
          <w:numId w:val="4"/>
        </w:numPr>
        <w:tabs>
          <w:tab w:val="clear" w:pos="1021"/>
        </w:tabs>
        <w:spacing w:before="0" w:after="0" w:line="240" w:lineRule="auto"/>
        <w:rPr>
          <w:rFonts w:ascii="Nunito Sans" w:hAnsi="Nunito Sans" w:cs="Nunito Sans"/>
          <w:b/>
          <w:szCs w:val="20"/>
          <w:lang w:val="sk-SK"/>
        </w:rPr>
      </w:pPr>
      <w:r>
        <w:rPr>
          <w:rFonts w:ascii="Nunito Sans" w:hAnsi="Nunito Sans" w:cs="Nunito Sans"/>
          <w:b/>
          <w:szCs w:val="20"/>
          <w:lang w:val="sk-SK"/>
        </w:rPr>
        <w:t>Prehlásenia zmluvných strán</w:t>
      </w:r>
    </w:p>
    <w:p w14:paraId="45D6272D" w14:textId="77777777" w:rsidR="00C30AEF" w:rsidRDefault="00C30AEF">
      <w:pPr>
        <w:pStyle w:val="Zkladntext"/>
        <w:spacing w:line="240" w:lineRule="auto"/>
        <w:ind w:left="1080"/>
        <w:rPr>
          <w:rFonts w:ascii="Nunito Sans" w:hAnsi="Nunito Sans" w:cs="Nunito Sans"/>
          <w:b/>
          <w:szCs w:val="20"/>
          <w:lang w:val="sk-SK"/>
        </w:rPr>
      </w:pPr>
    </w:p>
    <w:p w14:paraId="43A9D47F" w14:textId="77777777" w:rsidR="00C30AEF" w:rsidRDefault="00896CF4">
      <w:pPr>
        <w:pStyle w:val="Odsekzoznamu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Účastník udeľuje Podniku súhlas a oprávnenie v zmysle § 71 ods. 1. písm. b) zákona č. 222/2004 Z. z. o dani z pridanej hodnoty v znení neskorších predpisov, aby Podnik vyúčtovával služby poskytované na základe zmluvy o pripojení alebo zmluvy o poskytovaní verejných služieb (ďalej len „Zmluva“) faktúrou vyhotovenou výlučne v elektronickej forme (ďalej len „elektronická faktúra“), a to jej zasielaním vo formáte PDF na túto adresu elektronickej pošty:</w:t>
      </w:r>
    </w:p>
    <w:p w14:paraId="6549DC3C" w14:textId="354006E7" w:rsidR="00C30AEF" w:rsidRDefault="00896CF4">
      <w:pPr>
        <w:pStyle w:val="Odsekzoznamu"/>
        <w:spacing w:after="120" w:line="240" w:lineRule="auto"/>
        <w:ind w:left="714"/>
        <w:contextualSpacing w:val="0"/>
        <w:jc w:val="both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Nunito Sans" w:hAnsi="Nunito Sans" w:cs="Nunito Sans"/>
          <w:sz w:val="20"/>
          <w:szCs w:val="20"/>
        </w:rPr>
        <w:t xml:space="preserve"> </w:t>
      </w:r>
    </w:p>
    <w:p w14:paraId="5D92CA4E" w14:textId="77777777" w:rsidR="00C30AEF" w:rsidRDefault="00896CF4">
      <w:pPr>
        <w:pStyle w:val="Odsekzoznamu"/>
        <w:spacing w:after="120" w:line="240" w:lineRule="auto"/>
        <w:ind w:left="714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Takto zaslaná elektronická faktúra bude považovaná za predloženie a doručenie vyúčtovania za poskytnuté služby. Účastník týmto berie na vedomie, že Podnik nie je povinný zasielať aj faktúru v tlačenej, resp. listinnej písomnej forme.</w:t>
      </w:r>
    </w:p>
    <w:p w14:paraId="6367EA60" w14:textId="77777777" w:rsidR="00C30AEF" w:rsidRDefault="00C30AEF">
      <w:pPr>
        <w:pStyle w:val="Odsekzoznamu"/>
        <w:spacing w:after="120" w:line="240" w:lineRule="auto"/>
        <w:ind w:left="714"/>
        <w:rPr>
          <w:rFonts w:ascii="Nunito Sans" w:hAnsi="Nunito Sans" w:cs="Nunito Sans" w:hint="eastAsia"/>
          <w:sz w:val="20"/>
          <w:szCs w:val="20"/>
        </w:rPr>
      </w:pPr>
    </w:p>
    <w:p w14:paraId="24974F20" w14:textId="77777777" w:rsidR="00C30AEF" w:rsidRDefault="00896CF4">
      <w:pPr>
        <w:pStyle w:val="Odsekzoznamu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Elektronickú faktúru môže Podnik sprístupniť Účastníkovi aj na internetovej stránke Podniku www.swan.sk, pričom sprístupnenie môže byť podmienené použitím niektorého alebo viacerých bezpečnostných údajov.</w:t>
      </w:r>
    </w:p>
    <w:p w14:paraId="600260FC" w14:textId="77777777" w:rsidR="00C30AEF" w:rsidRDefault="00896CF4" w:rsidP="00896CF4">
      <w:pPr>
        <w:pStyle w:val="Odsekzoznamu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Elektronická faktúra je v zmysle § 71 ods. 1 písm. a) a b) zákona č. 222/2004 Z. z. o dani z pridanej hodnoty v znení neskorších predpisov daňovým dokladom.</w:t>
      </w:r>
    </w:p>
    <w:p w14:paraId="0A5926E8" w14:textId="77777777" w:rsidR="00896CF4" w:rsidRDefault="00896CF4" w:rsidP="00896CF4">
      <w:pPr>
        <w:spacing w:after="120" w:line="240" w:lineRule="auto"/>
        <w:jc w:val="both"/>
        <w:rPr>
          <w:rFonts w:ascii="Nunito Sans" w:hAnsi="Nunito Sans" w:cs="Nunito Sans"/>
          <w:sz w:val="20"/>
          <w:szCs w:val="20"/>
        </w:rPr>
      </w:pPr>
    </w:p>
    <w:p w14:paraId="736BA197" w14:textId="4428A2CE" w:rsidR="00896CF4" w:rsidRDefault="00896CF4" w:rsidP="00896CF4">
      <w:pPr>
        <w:spacing w:after="120" w:line="240" w:lineRule="auto"/>
        <w:jc w:val="both"/>
        <w:rPr>
          <w:rFonts w:ascii="Nunito Sans" w:hAnsi="Nunito Sans" w:cs="Nunito Sans"/>
          <w:sz w:val="20"/>
          <w:szCs w:val="20"/>
        </w:rPr>
      </w:pPr>
    </w:p>
    <w:p w14:paraId="591905AC" w14:textId="77777777" w:rsidR="00896CF4" w:rsidRDefault="00896CF4" w:rsidP="00896CF4">
      <w:pPr>
        <w:spacing w:after="120" w:line="240" w:lineRule="auto"/>
        <w:jc w:val="both"/>
        <w:rPr>
          <w:rFonts w:ascii="Nunito Sans" w:hAnsi="Nunito Sans" w:cs="Nunito Sans"/>
          <w:sz w:val="20"/>
          <w:szCs w:val="20"/>
        </w:rPr>
      </w:pPr>
    </w:p>
    <w:p w14:paraId="5FCF2570" w14:textId="77777777" w:rsidR="00896CF4" w:rsidRDefault="00896CF4" w:rsidP="00896CF4">
      <w:pPr>
        <w:spacing w:after="120" w:line="240" w:lineRule="auto"/>
        <w:jc w:val="both"/>
        <w:rPr>
          <w:rFonts w:ascii="Nunito Sans" w:hAnsi="Nunito Sans" w:cs="Nunito Sans"/>
          <w:sz w:val="20"/>
          <w:szCs w:val="20"/>
        </w:rPr>
      </w:pPr>
    </w:p>
    <w:p w14:paraId="216C8B1C" w14:textId="77777777" w:rsidR="00896CF4" w:rsidRDefault="00896CF4" w:rsidP="00896CF4">
      <w:pPr>
        <w:spacing w:after="120" w:line="240" w:lineRule="auto"/>
        <w:jc w:val="both"/>
        <w:rPr>
          <w:rFonts w:ascii="Nunito Sans" w:hAnsi="Nunito Sans" w:cs="Nunito Sans"/>
          <w:sz w:val="20"/>
          <w:szCs w:val="20"/>
        </w:rPr>
      </w:pPr>
    </w:p>
    <w:p w14:paraId="099A74E9" w14:textId="77777777" w:rsidR="00896CF4" w:rsidRPr="00896CF4" w:rsidRDefault="00896CF4" w:rsidP="00896CF4">
      <w:pPr>
        <w:spacing w:after="120" w:line="240" w:lineRule="auto"/>
        <w:jc w:val="both"/>
        <w:rPr>
          <w:rFonts w:ascii="Nunito Sans" w:hAnsi="Nunito Sans" w:cs="Nunito Sans" w:hint="eastAsia"/>
          <w:sz w:val="20"/>
          <w:szCs w:val="20"/>
        </w:rPr>
      </w:pPr>
    </w:p>
    <w:p w14:paraId="564F84CE" w14:textId="4BC2D6F7" w:rsidR="00C30AEF" w:rsidRPr="00896CF4" w:rsidRDefault="00896CF4" w:rsidP="00896CF4">
      <w:pPr>
        <w:pStyle w:val="Odsekzoznamu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Ú</w:t>
      </w:r>
      <w:r>
        <w:rPr>
          <w:rFonts w:ascii="Nunito Sans" w:hAnsi="Nunito Sans" w:cs="Nunito Sans"/>
          <w:sz w:val="20"/>
          <w:szCs w:val="20"/>
        </w:rPr>
        <w:t>častník zároveň vyhlasuje, že má výlučný prístup k adrese elektronickej pošty, na ktorú bude elektronická faktúra zasielaná a berie na vedomie, že Podnik nezodpovedá za porušenie obchodného tajomstva ani za s tým súvisiacu spôsobenú škodu, ak k porušeniu alebo vzniku škody došlo v dôsledku úniku obchodného tajomstva z p</w:t>
      </w:r>
      <w:r w:rsidRPr="00896CF4">
        <w:rPr>
          <w:rFonts w:ascii="Nunito Sans" w:hAnsi="Nunito Sans" w:cs="Nunito Sans"/>
          <w:sz w:val="20"/>
          <w:szCs w:val="20"/>
        </w:rPr>
        <w:t>oštovej schránky priradenej k adrese elektronickej pošty, na ktorú bude elektronická faktúra zasielaná, alebo v dôsledku úniku / odcudzenia / zneužitia Účastníkom využívaného zariadenia / aplikácie.</w:t>
      </w:r>
    </w:p>
    <w:p w14:paraId="43A6A3D5" w14:textId="77777777" w:rsidR="00C30AEF" w:rsidRDefault="00896CF4">
      <w:pPr>
        <w:pStyle w:val="Odsekzoznamu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Ú</w:t>
      </w:r>
      <w:r>
        <w:rPr>
          <w:rFonts w:ascii="Nunito Sans" w:hAnsi="Nunito Sans" w:cs="Nunito Sans"/>
          <w:sz w:val="20"/>
          <w:szCs w:val="20"/>
        </w:rPr>
        <w:t xml:space="preserve">častník sa zaväzuje vopred písomne oznámiť Podniku akúkoľvek zmenu, ktorá by mohla mať vplyv na doručovanie elektronických faktúr podľa týchto podmienok, najmä zmenu adresy elektronickej pošty a bezodkladne oznámiť Podniku, ak faktúra vystavená elektronicky nebude doručená. V prípade pochybností sa elektronická faktúra považuje za doručenú uplynutím troch pracovných dní odo dňa preukázateľného odoslania elektronickej faktúry Účastníkovi Podnikom. </w:t>
      </w:r>
    </w:p>
    <w:p w14:paraId="6AE809C7" w14:textId="77777777" w:rsidR="00C30AEF" w:rsidRDefault="00896CF4">
      <w:pPr>
        <w:pStyle w:val="Odsekzoznamu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Účastník môže odvolať svoj súhlas kedykoľvek, a to písomne v listinnej forme na adresu Podniku uvedenú v záhlaví Dohody.</w:t>
      </w:r>
    </w:p>
    <w:p w14:paraId="62CC0A9B" w14:textId="77777777" w:rsidR="00C30AEF" w:rsidRDefault="00896CF4">
      <w:pPr>
        <w:pStyle w:val="Odsekzoznamu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Nunito Sans" w:hAnsi="Nunito Sans" w:cs="Nunito Sans" w:hint="eastAsia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Podnik spracúva osobné údaje Účastníka v rozsahu uvedenom v tomto formulári v na účely plnenia Zmluvy – fakturácie vyúčtovania úhrady na základe § 110 ods. 2 písm. a) zákona 452/2021 Z. z. o elektronických komunikáciách, pričom podrobnosti o spracúvaní osobných údajov sú uvedené v Zmluve. Spoločnosť SWAN, a.s. zverejňuje podrobné informácie o rozsahu, spôsobe a účeloch spracúvania osobných údajov, dobe ich uchovávania, právach dotknutých osôb a ďalšie zásady ochrany osobných údajov na svojom webovom sídle w</w:t>
      </w:r>
      <w:r>
        <w:rPr>
          <w:rFonts w:ascii="Nunito Sans" w:hAnsi="Nunito Sans" w:cs="Nunito Sans"/>
          <w:sz w:val="20"/>
          <w:szCs w:val="20"/>
        </w:rPr>
        <w:t>ww.swan.sk na podstránke Ochrana osobných údajov.</w:t>
      </w:r>
    </w:p>
    <w:p w14:paraId="48BFCB21" w14:textId="77777777" w:rsidR="00C30AEF" w:rsidRDefault="00C30AEF">
      <w:pPr>
        <w:pStyle w:val="Odsekzoznamu"/>
        <w:spacing w:after="120" w:line="240" w:lineRule="auto"/>
        <w:rPr>
          <w:rFonts w:ascii="Nunito Sans" w:hAnsi="Nunito Sans" w:cs="Nunito Sans" w:hint="eastAsia"/>
          <w:sz w:val="20"/>
          <w:szCs w:val="20"/>
        </w:rPr>
      </w:pPr>
    </w:p>
    <w:p w14:paraId="00E07D45" w14:textId="77777777" w:rsidR="00C30AEF" w:rsidRDefault="00896CF4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unito Sans" w:hAnsi="Nunito Sans" w:cs="Nunito Sans" w:hint="eastAsia"/>
          <w:b/>
          <w:sz w:val="20"/>
          <w:szCs w:val="20"/>
        </w:rPr>
      </w:pPr>
      <w:r>
        <w:rPr>
          <w:rFonts w:ascii="Nunito Sans" w:hAnsi="Nunito Sans" w:cs="Nunito Sans"/>
          <w:b/>
          <w:sz w:val="20"/>
          <w:szCs w:val="20"/>
        </w:rPr>
        <w:t>Záverečné ustanovenia</w:t>
      </w:r>
    </w:p>
    <w:p w14:paraId="3F327019" w14:textId="77777777" w:rsidR="00C30AEF" w:rsidRDefault="00896CF4" w:rsidP="00896CF4">
      <w:pPr>
        <w:pStyle w:val="ZT2"/>
        <w:numPr>
          <w:ilvl w:val="0"/>
          <w:numId w:val="5"/>
        </w:numPr>
        <w:tabs>
          <w:tab w:val="clear" w:pos="2127"/>
        </w:tabs>
        <w:spacing w:before="240" w:after="120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Dohoda nadobúda platnosť a účinnosť dňom jej podpísania oprávnenými zástupcami obidvoch zmluvných strán.</w:t>
      </w:r>
    </w:p>
    <w:p w14:paraId="0D03331F" w14:textId="77777777" w:rsidR="00C30AEF" w:rsidRDefault="00896CF4">
      <w:pPr>
        <w:pStyle w:val="ZT2"/>
        <w:numPr>
          <w:ilvl w:val="0"/>
          <w:numId w:val="5"/>
        </w:numPr>
        <w:spacing w:after="120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Dohoda je vyhotovená v dvoch rovnopisoch, pričom každá zo zmluvných strán obdrží po jednom vyhotovení.</w:t>
      </w:r>
    </w:p>
    <w:p w14:paraId="4ECCE881" w14:textId="77777777" w:rsidR="00C30AEF" w:rsidRDefault="00896CF4">
      <w:pPr>
        <w:pStyle w:val="ZT2"/>
        <w:numPr>
          <w:ilvl w:val="0"/>
          <w:numId w:val="5"/>
        </w:numPr>
        <w:spacing w:after="120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Zmluvné strany vyhlasujú, že si túto Dohodu prečítali, jej obsahu porozumeli a na znak toho, že zodpovedá ich skutočnej a slobodnej vôli, ju podpísali.</w:t>
      </w:r>
    </w:p>
    <w:p w14:paraId="26007834" w14:textId="77777777" w:rsidR="00C30AEF" w:rsidRDefault="00C30AEF">
      <w:pPr>
        <w:pStyle w:val="ZT"/>
        <w:jc w:val="both"/>
        <w:rPr>
          <w:rFonts w:ascii="Nunito Sans" w:hAnsi="Nunito Sans" w:cs="Nunito Sans"/>
          <w:sz w:val="20"/>
          <w:szCs w:val="20"/>
        </w:rPr>
      </w:pPr>
    </w:p>
    <w:p w14:paraId="7B102679" w14:textId="77777777" w:rsidR="00C30AEF" w:rsidRDefault="00C30AEF">
      <w:pPr>
        <w:pStyle w:val="ZT"/>
        <w:jc w:val="both"/>
        <w:rPr>
          <w:rFonts w:ascii="Nunito Sans" w:hAnsi="Nunito Sans" w:cs="Nunito Sans"/>
          <w:sz w:val="20"/>
          <w:szCs w:val="20"/>
        </w:rPr>
      </w:pPr>
    </w:p>
    <w:p w14:paraId="35A0EA04" w14:textId="77777777" w:rsidR="00C30AEF" w:rsidRDefault="00896CF4">
      <w:pPr>
        <w:pStyle w:val="ZT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 xml:space="preserve">V Bratislave, dňa ................................. </w:t>
      </w:r>
    </w:p>
    <w:p w14:paraId="793E713E" w14:textId="77777777" w:rsidR="00C30AEF" w:rsidRDefault="00C30AEF">
      <w:pPr>
        <w:pStyle w:val="ZT"/>
        <w:jc w:val="both"/>
        <w:rPr>
          <w:rFonts w:ascii="Nunito Sans" w:hAnsi="Nunito Sans" w:cs="Nunito Sans"/>
          <w:sz w:val="20"/>
          <w:szCs w:val="20"/>
        </w:rPr>
      </w:pPr>
    </w:p>
    <w:p w14:paraId="6B8B56E6" w14:textId="77777777" w:rsidR="00C30AEF" w:rsidRDefault="00C30AEF">
      <w:pPr>
        <w:pStyle w:val="ZT"/>
        <w:jc w:val="both"/>
        <w:rPr>
          <w:rFonts w:ascii="Nunito Sans" w:hAnsi="Nunito Sans" w:cs="Nunito Sans"/>
          <w:sz w:val="20"/>
          <w:szCs w:val="20"/>
        </w:rPr>
      </w:pPr>
    </w:p>
    <w:p w14:paraId="5B91ADAA" w14:textId="77777777" w:rsidR="00C30AEF" w:rsidRDefault="00896CF4">
      <w:pPr>
        <w:pStyle w:val="ZT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Podnik:</w:t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  <w:t>Účastník:</w:t>
      </w:r>
    </w:p>
    <w:p w14:paraId="7EC03330" w14:textId="77777777" w:rsidR="00C30AEF" w:rsidRDefault="00C30AEF">
      <w:pPr>
        <w:pStyle w:val="ZT"/>
        <w:jc w:val="both"/>
        <w:rPr>
          <w:rFonts w:ascii="Nunito Sans" w:hAnsi="Nunito Sans" w:cs="Nunito Sans"/>
          <w:sz w:val="20"/>
          <w:szCs w:val="20"/>
        </w:rPr>
      </w:pPr>
    </w:p>
    <w:p w14:paraId="2E78AFE0" w14:textId="77777777" w:rsidR="00C30AEF" w:rsidRDefault="00C30AEF">
      <w:pPr>
        <w:pStyle w:val="ZT"/>
        <w:jc w:val="both"/>
        <w:rPr>
          <w:rFonts w:ascii="Nunito Sans" w:hAnsi="Nunito Sans" w:cs="Nunito Sans"/>
          <w:sz w:val="20"/>
          <w:szCs w:val="20"/>
        </w:rPr>
      </w:pPr>
    </w:p>
    <w:p w14:paraId="66FFEC87" w14:textId="77777777" w:rsidR="00C30AEF" w:rsidRDefault="00896CF4">
      <w:pPr>
        <w:pStyle w:val="ZT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________________________________</w:t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  <w:t>________________________________</w:t>
      </w:r>
    </w:p>
    <w:p w14:paraId="0321F42D" w14:textId="77777777" w:rsidR="00C30AEF" w:rsidRDefault="00C30AEF">
      <w:pPr>
        <w:pStyle w:val="ZT"/>
        <w:jc w:val="both"/>
        <w:rPr>
          <w:rFonts w:ascii="Nunito Sans" w:hAnsi="Nunito Sans" w:cs="Nunito Sans"/>
          <w:sz w:val="20"/>
          <w:szCs w:val="20"/>
        </w:rPr>
      </w:pPr>
    </w:p>
    <w:p w14:paraId="48A122DC" w14:textId="2138E1C6" w:rsidR="00C30AEF" w:rsidRDefault="00896CF4">
      <w:pPr>
        <w:pStyle w:val="ZT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....................................</w:t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  <w:t xml:space="preserve">                </w:t>
      </w:r>
      <w:r>
        <w:rPr>
          <w:rFonts w:ascii="Nunito Sans" w:hAnsi="Nunito Sans" w:cs="Nunito Sans"/>
          <w:sz w:val="20"/>
          <w:szCs w:val="20"/>
        </w:rPr>
        <w:t>....................................</w:t>
      </w:r>
    </w:p>
    <w:p w14:paraId="68C33AD2" w14:textId="77777777" w:rsidR="00C30AEF" w:rsidRDefault="00896CF4">
      <w:pPr>
        <w:pStyle w:val="ZT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</w:p>
    <w:p w14:paraId="24B48686" w14:textId="77777777" w:rsidR="00C30AEF" w:rsidRDefault="00896CF4">
      <w:pPr>
        <w:pStyle w:val="ZT"/>
        <w:jc w:val="both"/>
        <w:rPr>
          <w:rFonts w:ascii="Nunito Sans" w:hAnsi="Nunito Sans" w:cs="Nunito Sans"/>
          <w:sz w:val="20"/>
          <w:szCs w:val="20"/>
        </w:rPr>
      </w:pPr>
      <w:r>
        <w:rPr>
          <w:rFonts w:ascii="Nunito Sans" w:hAnsi="Nunito Sans" w:cs="Nunito Sans"/>
          <w:sz w:val="20"/>
          <w:szCs w:val="20"/>
        </w:rPr>
        <w:t>SWAN, a.s.</w:t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</w:r>
      <w:r>
        <w:rPr>
          <w:rFonts w:ascii="Nunito Sans" w:hAnsi="Nunito Sans" w:cs="Nunito Sans"/>
          <w:sz w:val="20"/>
          <w:szCs w:val="20"/>
        </w:rPr>
        <w:tab/>
        <w:t>............................</w:t>
      </w:r>
    </w:p>
    <w:p w14:paraId="3C997C4D" w14:textId="77777777" w:rsidR="00C30AEF" w:rsidRDefault="00C30AEF">
      <w:pPr>
        <w:jc w:val="both"/>
        <w:rPr>
          <w:rFonts w:ascii="Nunito Sans" w:hAnsi="Nunito Sans" w:cs="Nunito Sans" w:hint="eastAsia"/>
          <w:sz w:val="20"/>
          <w:szCs w:val="20"/>
        </w:rPr>
      </w:pPr>
    </w:p>
    <w:sectPr w:rsidR="00C30AEF">
      <w:headerReference w:type="default" r:id="rId8"/>
      <w:footerReference w:type="default" r:id="rId9"/>
      <w:pgSz w:w="11906" w:h="16838"/>
      <w:pgMar w:top="1440" w:right="1080" w:bottom="1440" w:left="1080" w:header="708" w:footer="739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7299" w14:textId="77777777" w:rsidR="00C30AEF" w:rsidRDefault="00896CF4">
      <w:pPr>
        <w:spacing w:after="0" w:line="240" w:lineRule="auto"/>
      </w:pPr>
      <w:r>
        <w:separator/>
      </w:r>
    </w:p>
  </w:endnote>
  <w:endnote w:type="continuationSeparator" w:id="0">
    <w:p w14:paraId="4D2B1DBD" w14:textId="77777777" w:rsidR="00C30AEF" w:rsidRDefault="0089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uni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B14B" w14:textId="77777777" w:rsidR="00C30AEF" w:rsidRDefault="00896CF4">
    <w:pPr>
      <w:spacing w:after="0" w:line="240" w:lineRule="auto"/>
    </w:pPr>
    <w:r>
      <w:rPr>
        <w:noProof/>
      </w:rPr>
      <w:drawing>
        <wp:anchor distT="0" distB="0" distL="114300" distR="114300" simplePos="0" relativeHeight="503308291" behindDoc="1" locked="0" layoutInCell="1" allowOverlap="1" wp14:anchorId="32943534" wp14:editId="7AC9D3AB">
          <wp:simplePos x="0" y="0"/>
          <wp:positionH relativeFrom="page">
            <wp:posOffset>47625</wp:posOffset>
          </wp:positionH>
          <wp:positionV relativeFrom="page">
            <wp:posOffset>9500870</wp:posOffset>
          </wp:positionV>
          <wp:extent cx="7519035" cy="119507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9035" cy="1195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C550" w14:textId="77777777" w:rsidR="00C30AEF" w:rsidRDefault="00896CF4">
      <w:pPr>
        <w:spacing w:after="0" w:line="240" w:lineRule="auto"/>
      </w:pPr>
      <w:r>
        <w:separator/>
      </w:r>
    </w:p>
  </w:footnote>
  <w:footnote w:type="continuationSeparator" w:id="0">
    <w:p w14:paraId="10ACD9C4" w14:textId="77777777" w:rsidR="00C30AEF" w:rsidRDefault="0089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BC0F" w14:textId="77777777" w:rsidR="00C30AEF" w:rsidRDefault="00896CF4">
    <w:pPr>
      <w:spacing w:after="0" w:line="240" w:lineRule="auto"/>
    </w:pPr>
    <w:r>
      <w:rPr>
        <w:noProof/>
      </w:rPr>
      <w:drawing>
        <wp:anchor distT="0" distB="0" distL="118872" distR="118872" simplePos="0" relativeHeight="503308289" behindDoc="1" locked="0" layoutInCell="1" allowOverlap="1" wp14:anchorId="7286981D" wp14:editId="30867DC8">
          <wp:simplePos x="0" y="0"/>
          <wp:positionH relativeFrom="page">
            <wp:posOffset>12700</wp:posOffset>
          </wp:positionH>
          <wp:positionV relativeFrom="page">
            <wp:posOffset>25400</wp:posOffset>
          </wp:positionV>
          <wp:extent cx="7522845" cy="141351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2845" cy="141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08B"/>
    <w:multiLevelType w:val="hybridMultilevel"/>
    <w:tmpl w:val="95B4B752"/>
    <w:lvl w:ilvl="0" w:tplc="451A710E">
      <w:start w:val="1"/>
      <w:numFmt w:val="decimal"/>
      <w:lvlText w:val="%1."/>
      <w:lvlJc w:val="left"/>
      <w:pPr>
        <w:ind w:left="720" w:hanging="360"/>
      </w:pPr>
    </w:lvl>
    <w:lvl w:ilvl="1" w:tplc="A6627BE0" w:tentative="1">
      <w:start w:val="1"/>
      <w:numFmt w:val="lowerLetter"/>
      <w:lvlText w:val="%2."/>
      <w:lvlJc w:val="left"/>
      <w:pPr>
        <w:ind w:left="1440" w:hanging="360"/>
      </w:pPr>
    </w:lvl>
    <w:lvl w:ilvl="2" w:tplc="C9D8E5B8" w:tentative="1">
      <w:start w:val="1"/>
      <w:numFmt w:val="lowerRoman"/>
      <w:lvlText w:val="%3."/>
      <w:lvlJc w:val="right"/>
      <w:pPr>
        <w:ind w:left="2160" w:hanging="180"/>
      </w:pPr>
    </w:lvl>
    <w:lvl w:ilvl="3" w:tplc="678E1850" w:tentative="1">
      <w:start w:val="1"/>
      <w:numFmt w:val="decimal"/>
      <w:lvlText w:val="%4."/>
      <w:lvlJc w:val="left"/>
      <w:pPr>
        <w:ind w:left="2880" w:hanging="360"/>
      </w:pPr>
    </w:lvl>
    <w:lvl w:ilvl="4" w:tplc="FAAC22B4" w:tentative="1">
      <w:start w:val="1"/>
      <w:numFmt w:val="lowerLetter"/>
      <w:lvlText w:val="%5."/>
      <w:lvlJc w:val="left"/>
      <w:pPr>
        <w:ind w:left="3600" w:hanging="360"/>
      </w:pPr>
    </w:lvl>
    <w:lvl w:ilvl="5" w:tplc="C2A23342" w:tentative="1">
      <w:start w:val="1"/>
      <w:numFmt w:val="lowerRoman"/>
      <w:lvlText w:val="%6."/>
      <w:lvlJc w:val="right"/>
      <w:pPr>
        <w:ind w:left="4320" w:hanging="180"/>
      </w:pPr>
    </w:lvl>
    <w:lvl w:ilvl="6" w:tplc="F3A80412" w:tentative="1">
      <w:start w:val="1"/>
      <w:numFmt w:val="decimal"/>
      <w:lvlText w:val="%7."/>
      <w:lvlJc w:val="left"/>
      <w:pPr>
        <w:ind w:left="5040" w:hanging="360"/>
      </w:pPr>
    </w:lvl>
    <w:lvl w:ilvl="7" w:tplc="7520AB58" w:tentative="1">
      <w:start w:val="1"/>
      <w:numFmt w:val="lowerLetter"/>
      <w:lvlText w:val="%8."/>
      <w:lvlJc w:val="left"/>
      <w:pPr>
        <w:ind w:left="5760" w:hanging="360"/>
      </w:pPr>
    </w:lvl>
    <w:lvl w:ilvl="8" w:tplc="F2C05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450"/>
    <w:multiLevelType w:val="hybridMultilevel"/>
    <w:tmpl w:val="58E24818"/>
    <w:lvl w:ilvl="0" w:tplc="3078EB68">
      <w:start w:val="1"/>
      <w:numFmt w:val="decimal"/>
      <w:lvlText w:val="%1."/>
      <w:lvlJc w:val="left"/>
      <w:pPr>
        <w:ind w:left="720" w:hanging="360"/>
      </w:pPr>
    </w:lvl>
    <w:lvl w:ilvl="1" w:tplc="7E22559A" w:tentative="1">
      <w:start w:val="1"/>
      <w:numFmt w:val="lowerLetter"/>
      <w:lvlText w:val="%2."/>
      <w:lvlJc w:val="left"/>
      <w:pPr>
        <w:ind w:left="1440" w:hanging="360"/>
      </w:pPr>
    </w:lvl>
    <w:lvl w:ilvl="2" w:tplc="73449A38" w:tentative="1">
      <w:start w:val="1"/>
      <w:numFmt w:val="lowerRoman"/>
      <w:lvlText w:val="%3."/>
      <w:lvlJc w:val="right"/>
      <w:pPr>
        <w:ind w:left="2160" w:hanging="180"/>
      </w:pPr>
    </w:lvl>
    <w:lvl w:ilvl="3" w:tplc="E85EED14" w:tentative="1">
      <w:start w:val="1"/>
      <w:numFmt w:val="decimal"/>
      <w:lvlText w:val="%4."/>
      <w:lvlJc w:val="left"/>
      <w:pPr>
        <w:ind w:left="2880" w:hanging="360"/>
      </w:pPr>
    </w:lvl>
    <w:lvl w:ilvl="4" w:tplc="BBF67BC0" w:tentative="1">
      <w:start w:val="1"/>
      <w:numFmt w:val="lowerLetter"/>
      <w:lvlText w:val="%5."/>
      <w:lvlJc w:val="left"/>
      <w:pPr>
        <w:ind w:left="3600" w:hanging="360"/>
      </w:pPr>
    </w:lvl>
    <w:lvl w:ilvl="5" w:tplc="00F87912" w:tentative="1">
      <w:start w:val="1"/>
      <w:numFmt w:val="lowerRoman"/>
      <w:lvlText w:val="%6."/>
      <w:lvlJc w:val="right"/>
      <w:pPr>
        <w:ind w:left="4320" w:hanging="180"/>
      </w:pPr>
    </w:lvl>
    <w:lvl w:ilvl="6" w:tplc="2CCC11EE" w:tentative="1">
      <w:start w:val="1"/>
      <w:numFmt w:val="decimal"/>
      <w:lvlText w:val="%7."/>
      <w:lvlJc w:val="left"/>
      <w:pPr>
        <w:ind w:left="5040" w:hanging="360"/>
      </w:pPr>
    </w:lvl>
    <w:lvl w:ilvl="7" w:tplc="33E67B8A" w:tentative="1">
      <w:start w:val="1"/>
      <w:numFmt w:val="lowerLetter"/>
      <w:lvlText w:val="%8."/>
      <w:lvlJc w:val="left"/>
      <w:pPr>
        <w:ind w:left="5760" w:hanging="360"/>
      </w:pPr>
    </w:lvl>
    <w:lvl w:ilvl="8" w:tplc="E47E3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13A1"/>
    <w:multiLevelType w:val="hybridMultilevel"/>
    <w:tmpl w:val="830283A2"/>
    <w:lvl w:ilvl="0" w:tplc="4EDA97D2">
      <w:start w:val="1"/>
      <w:numFmt w:val="decimal"/>
      <w:lvlText w:val="%1."/>
      <w:lvlJc w:val="left"/>
      <w:pPr>
        <w:ind w:left="720" w:hanging="360"/>
      </w:pPr>
    </w:lvl>
    <w:lvl w:ilvl="1" w:tplc="F5C40000" w:tentative="1">
      <w:start w:val="1"/>
      <w:numFmt w:val="lowerLetter"/>
      <w:lvlText w:val="%2."/>
      <w:lvlJc w:val="left"/>
      <w:pPr>
        <w:ind w:left="1440" w:hanging="360"/>
      </w:pPr>
    </w:lvl>
    <w:lvl w:ilvl="2" w:tplc="479A5692" w:tentative="1">
      <w:start w:val="1"/>
      <w:numFmt w:val="lowerRoman"/>
      <w:lvlText w:val="%3."/>
      <w:lvlJc w:val="right"/>
      <w:pPr>
        <w:ind w:left="2160" w:hanging="180"/>
      </w:pPr>
    </w:lvl>
    <w:lvl w:ilvl="3" w:tplc="748A616C" w:tentative="1">
      <w:start w:val="1"/>
      <w:numFmt w:val="decimal"/>
      <w:lvlText w:val="%4."/>
      <w:lvlJc w:val="left"/>
      <w:pPr>
        <w:ind w:left="2880" w:hanging="360"/>
      </w:pPr>
    </w:lvl>
    <w:lvl w:ilvl="4" w:tplc="F548808E" w:tentative="1">
      <w:start w:val="1"/>
      <w:numFmt w:val="lowerLetter"/>
      <w:lvlText w:val="%5."/>
      <w:lvlJc w:val="left"/>
      <w:pPr>
        <w:ind w:left="3600" w:hanging="360"/>
      </w:pPr>
    </w:lvl>
    <w:lvl w:ilvl="5" w:tplc="3F6EB31E" w:tentative="1">
      <w:start w:val="1"/>
      <w:numFmt w:val="lowerRoman"/>
      <w:lvlText w:val="%6."/>
      <w:lvlJc w:val="right"/>
      <w:pPr>
        <w:ind w:left="4320" w:hanging="180"/>
      </w:pPr>
    </w:lvl>
    <w:lvl w:ilvl="6" w:tplc="16FE80BE" w:tentative="1">
      <w:start w:val="1"/>
      <w:numFmt w:val="decimal"/>
      <w:lvlText w:val="%7."/>
      <w:lvlJc w:val="left"/>
      <w:pPr>
        <w:ind w:left="5040" w:hanging="360"/>
      </w:pPr>
    </w:lvl>
    <w:lvl w:ilvl="7" w:tplc="6F5CB47C" w:tentative="1">
      <w:start w:val="1"/>
      <w:numFmt w:val="lowerLetter"/>
      <w:lvlText w:val="%8."/>
      <w:lvlJc w:val="left"/>
      <w:pPr>
        <w:ind w:left="5760" w:hanging="360"/>
      </w:pPr>
    </w:lvl>
    <w:lvl w:ilvl="8" w:tplc="91026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03148"/>
    <w:multiLevelType w:val="multilevel"/>
    <w:tmpl w:val="B5EA7ACE"/>
    <w:lvl w:ilvl="0">
      <w:start w:val="1"/>
      <w:numFmt w:val="decimal"/>
      <w:pStyle w:val="ZT1"/>
      <w:lvlText w:val="Čl. %1."/>
      <w:lvlJc w:val="left"/>
      <w:pPr>
        <w:tabs>
          <w:tab w:val="num" w:pos="720"/>
        </w:tabs>
        <w:ind w:left="360" w:hanging="360"/>
      </w:pPr>
      <w:rPr>
        <w:rFonts w:ascii="Bookman Old Style" w:hAnsi="Bookman Old Style" w:cs="Times New Roman" w:hint="default"/>
        <w:b/>
        <w:i w:val="0"/>
        <w:sz w:val="24"/>
      </w:rPr>
    </w:lvl>
    <w:lvl w:ilvl="1">
      <w:start w:val="1"/>
      <w:numFmt w:val="decimal"/>
      <w:pStyle w:val="ZT2"/>
      <w:lvlText w:val="%1.%2.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  <w:b w:val="0"/>
        <w:i w:val="0"/>
        <w:sz w:val="24"/>
      </w:rPr>
    </w:lvl>
    <w:lvl w:ilvl="2">
      <w:start w:val="1"/>
      <w:numFmt w:val="decimal"/>
      <w:pStyle w:val="ZT3"/>
      <w:lvlText w:val="%1.%2.%3."/>
      <w:lvlJc w:val="left"/>
      <w:pPr>
        <w:tabs>
          <w:tab w:val="num" w:pos="1440"/>
        </w:tabs>
        <w:ind w:left="1224" w:hanging="504"/>
      </w:pPr>
      <w:rPr>
        <w:rFonts w:ascii="Bookman Old Style" w:hAnsi="Bookman Old Style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7C1C01DC"/>
    <w:multiLevelType w:val="hybridMultilevel"/>
    <w:tmpl w:val="1A3E377E"/>
    <w:lvl w:ilvl="0" w:tplc="478C21DC">
      <w:start w:val="1"/>
      <w:numFmt w:val="decimal"/>
      <w:lvlText w:val="%1."/>
      <w:lvlJc w:val="left"/>
      <w:pPr>
        <w:ind w:left="720" w:hanging="360"/>
      </w:pPr>
    </w:lvl>
    <w:lvl w:ilvl="1" w:tplc="8098E2BC" w:tentative="1">
      <w:start w:val="1"/>
      <w:numFmt w:val="lowerLetter"/>
      <w:lvlText w:val="%2."/>
      <w:lvlJc w:val="left"/>
      <w:pPr>
        <w:ind w:left="1440" w:hanging="360"/>
      </w:pPr>
    </w:lvl>
    <w:lvl w:ilvl="2" w:tplc="07CEEE1A" w:tentative="1">
      <w:start w:val="1"/>
      <w:numFmt w:val="lowerRoman"/>
      <w:lvlText w:val="%3."/>
      <w:lvlJc w:val="right"/>
      <w:pPr>
        <w:ind w:left="2160" w:hanging="180"/>
      </w:pPr>
    </w:lvl>
    <w:lvl w:ilvl="3" w:tplc="F6C6C678" w:tentative="1">
      <w:start w:val="1"/>
      <w:numFmt w:val="decimal"/>
      <w:lvlText w:val="%4."/>
      <w:lvlJc w:val="left"/>
      <w:pPr>
        <w:ind w:left="2880" w:hanging="360"/>
      </w:pPr>
    </w:lvl>
    <w:lvl w:ilvl="4" w:tplc="9238D332" w:tentative="1">
      <w:start w:val="1"/>
      <w:numFmt w:val="lowerLetter"/>
      <w:lvlText w:val="%5."/>
      <w:lvlJc w:val="left"/>
      <w:pPr>
        <w:ind w:left="3600" w:hanging="360"/>
      </w:pPr>
    </w:lvl>
    <w:lvl w:ilvl="5" w:tplc="B700EFDE" w:tentative="1">
      <w:start w:val="1"/>
      <w:numFmt w:val="lowerRoman"/>
      <w:lvlText w:val="%6."/>
      <w:lvlJc w:val="right"/>
      <w:pPr>
        <w:ind w:left="4320" w:hanging="180"/>
      </w:pPr>
    </w:lvl>
    <w:lvl w:ilvl="6" w:tplc="B28AE0A2" w:tentative="1">
      <w:start w:val="1"/>
      <w:numFmt w:val="decimal"/>
      <w:lvlText w:val="%7."/>
      <w:lvlJc w:val="left"/>
      <w:pPr>
        <w:ind w:left="5040" w:hanging="360"/>
      </w:pPr>
    </w:lvl>
    <w:lvl w:ilvl="7" w:tplc="388CADC4" w:tentative="1">
      <w:start w:val="1"/>
      <w:numFmt w:val="lowerLetter"/>
      <w:lvlText w:val="%8."/>
      <w:lvlJc w:val="left"/>
      <w:pPr>
        <w:ind w:left="5760" w:hanging="360"/>
      </w:pPr>
    </w:lvl>
    <w:lvl w:ilvl="8" w:tplc="AED83D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91685">
    <w:abstractNumId w:val="3"/>
  </w:num>
  <w:num w:numId="2" w16cid:durableId="2058119468">
    <w:abstractNumId w:val="1"/>
  </w:num>
  <w:num w:numId="3" w16cid:durableId="932978070">
    <w:abstractNumId w:val="4"/>
  </w:num>
  <w:num w:numId="4" w16cid:durableId="132873178">
    <w:abstractNumId w:val="2"/>
  </w:num>
  <w:num w:numId="5" w16cid:durableId="6749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C2"/>
    <w:rsid w:val="005D79B1"/>
    <w:rsid w:val="00896CF4"/>
    <w:rsid w:val="009F380D"/>
    <w:rsid w:val="00A66EC2"/>
    <w:rsid w:val="00C3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C20"/>
  <w15:docId w15:val="{6B86A46C-9390-4C16-BCB6-A4A9D8B6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Bezriadkovania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Predvolenpsmoodseku"/>
    <w:link w:val="Nadpis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Jemnzvraznenie">
    <w:name w:val="Subtle Emphasis"/>
    <w:basedOn w:val="Predvolenpsmoodseku"/>
    <w:uiPriority w:val="19"/>
    <w:qFormat/>
    <w:rPr>
      <w:i/>
      <w:iCs/>
      <w:color w:val="808080" w:themeColor="text1" w:themeTint="7F"/>
    </w:rPr>
  </w:style>
  <w:style w:type="character" w:styleId="Zvraznenie">
    <w:name w:val="Emphasis"/>
    <w:basedOn w:val="Predvolenpsmoodseku"/>
    <w:uiPriority w:val="20"/>
    <w:qFormat/>
    <w:rPr>
      <w:i/>
      <w:iCs/>
    </w:rPr>
  </w:style>
  <w:style w:type="character" w:styleId="Intenzvnezvraznenie">
    <w:name w:val="Intense Emphasis"/>
    <w:basedOn w:val="Predvolenpsmoodseku"/>
    <w:uiPriority w:val="21"/>
    <w:qFormat/>
    <w:rPr>
      <w:b/>
      <w:bCs/>
      <w:i/>
      <w:iCs/>
      <w:color w:val="4472C4" w:themeColor="accent1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b/>
      <w:bCs/>
      <w:i/>
      <w:iCs/>
      <w:color w:val="4472C4" w:themeColor="accent1"/>
    </w:rPr>
  </w:style>
  <w:style w:type="character" w:styleId="Jemnodkaz">
    <w:name w:val="Subtle Reference"/>
    <w:basedOn w:val="Predvolenpsmoodseku"/>
    <w:uiPriority w:val="31"/>
    <w:qFormat/>
    <w:rPr>
      <w:smallCaps/>
      <w:color w:val="ED7D31" w:themeColor="accent2"/>
      <w:u w:val="single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Pr>
      <w:b/>
      <w:bCs/>
      <w:smallCaps/>
      <w:spacing w:val="5"/>
    </w:rPr>
  </w:style>
  <w:style w:type="paragraph" w:styleId="Odsekzoznamu">
    <w:name w:val="List Paragraph"/>
    <w:aliases w:val="Odstavec"/>
    <w:basedOn w:val="Normlny"/>
    <w:link w:val="OdsekzoznamuChar"/>
    <w:uiPriority w:val="99"/>
    <w:qFormat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954F72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Pr>
      <w:rFonts w:ascii="Courier New" w:hAnsi="Courier New" w:cs="Courier New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OdsekzoznamuChar">
    <w:name w:val="Odsek zoznamu Char"/>
    <w:aliases w:val="Odstavec Char"/>
    <w:link w:val="Odsekzoznamu"/>
    <w:uiPriority w:val="99"/>
  </w:style>
  <w:style w:type="paragraph" w:styleId="Zkladntext">
    <w:name w:val="Body Text"/>
    <w:basedOn w:val="Normlny"/>
    <w:link w:val="ZkladntextChar"/>
    <w:uiPriority w:val="99"/>
    <w:semiHidden/>
    <w:unhideWhenUsed/>
    <w:pPr>
      <w:tabs>
        <w:tab w:val="left" w:pos="1021"/>
      </w:tabs>
      <w:spacing w:before="60" w:after="120"/>
      <w:jc w:val="both"/>
    </w:pPr>
    <w:rPr>
      <w:rFonts w:ascii="Tahoma" w:eastAsia="Verdana" w:hAnsi="Tahoma" w:cs="Times New Roman"/>
      <w:sz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ahoma" w:eastAsia="Verdana" w:hAnsi="Tahoma" w:cs="Times New Roman"/>
      <w:sz w:val="20"/>
      <w:lang w:val="cs-CZ" w:eastAsia="en-US"/>
    </w:rPr>
  </w:style>
  <w:style w:type="character" w:customStyle="1" w:styleId="Ra">
    <w:name w:val="Ra"/>
    <w:basedOn w:val="Predvolenpsmoodseku"/>
    <w:uiPriority w:val="99"/>
    <w:rPr>
      <w:rFonts w:cs="Times New Roman"/>
    </w:rPr>
  </w:style>
  <w:style w:type="paragraph" w:customStyle="1" w:styleId="ZT">
    <w:name w:val="ZT"/>
    <w:basedOn w:val="Normlny"/>
    <w:uiPriority w:val="99"/>
    <w:pPr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</w:rPr>
  </w:style>
  <w:style w:type="paragraph" w:customStyle="1" w:styleId="ZT1">
    <w:name w:val="ZT 1"/>
    <w:basedOn w:val="Normlny"/>
    <w:uiPriority w:val="99"/>
    <w:pPr>
      <w:numPr>
        <w:numId w:val="1"/>
      </w:numPr>
      <w:spacing w:after="0" w:line="240" w:lineRule="auto"/>
      <w:jc w:val="center"/>
    </w:pPr>
    <w:rPr>
      <w:rFonts w:ascii="Bookman Old Style" w:eastAsia="Times New Roman" w:hAnsi="Bookman Old Style" w:cs="Times New Roman"/>
      <w:b/>
      <w:color w:val="000000"/>
      <w:sz w:val="24"/>
      <w:szCs w:val="24"/>
    </w:rPr>
  </w:style>
  <w:style w:type="paragraph" w:customStyle="1" w:styleId="ZT2">
    <w:name w:val="ZT 2"/>
    <w:basedOn w:val="ZT"/>
    <w:uiPriority w:val="99"/>
    <w:pPr>
      <w:numPr>
        <w:ilvl w:val="1"/>
        <w:numId w:val="1"/>
      </w:numPr>
      <w:tabs>
        <w:tab w:val="left" w:pos="2127"/>
      </w:tabs>
    </w:pPr>
  </w:style>
  <w:style w:type="paragraph" w:customStyle="1" w:styleId="ZT3">
    <w:name w:val="ZT 3"/>
    <w:basedOn w:val="ZT2"/>
    <w:uiPriority w:val="99"/>
    <w:pPr>
      <w:tabs>
        <w:tab w:val="num" w:pos="360"/>
        <w:tab w:val="num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2340-E046-43B7-A7E7-54A44F0D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3795</Characters>
  <Application>Microsoft Office Word</Application>
  <DocSecurity>4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Author</dc:creator>
  <cp:lastModifiedBy>Ondrášová Martina</cp:lastModifiedBy>
  <cp:revision>2</cp:revision>
  <dcterms:created xsi:type="dcterms:W3CDTF">2026-02-20T09:08:00Z</dcterms:created>
  <dcterms:modified xsi:type="dcterms:W3CDTF">2026-02-20T09:08:00Z</dcterms:modified>
</cp:coreProperties>
</file>